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EF48" w14:textId="77777777" w:rsidR="00DE7207" w:rsidRDefault="00DE7207" w:rsidP="00DE7207">
      <w:pPr>
        <w:spacing w:after="120" w:line="240" w:lineRule="auto"/>
        <w:jc w:val="both"/>
        <w:rPr>
          <w:b/>
          <w:noProof/>
        </w:rPr>
      </w:pPr>
      <w:r w:rsidRPr="004A36C1">
        <w:rPr>
          <w:b/>
          <w:noProof/>
        </w:rPr>
        <w:t xml:space="preserve">Lightning strike in Guinea-Bissau causes seven deaths and several injuries </w:t>
      </w:r>
      <w:r w:rsidRPr="00F71865">
        <w:rPr>
          <w:b/>
          <w:noProof/>
        </w:rPr>
        <w:t>[</w:t>
      </w:r>
      <w:r w:rsidRPr="004A36C1">
        <w:rPr>
          <w:b/>
          <w:noProof/>
        </w:rPr>
        <w:t>Guinea-Bissau</w:t>
      </w:r>
      <w:r w:rsidRPr="00F71865">
        <w:rPr>
          <w:b/>
          <w:noProof/>
        </w:rPr>
        <w:t>]</w:t>
      </w:r>
    </w:p>
    <w:p w14:paraId="5E5EA1ED" w14:textId="202F0737" w:rsidR="00DE7207" w:rsidRDefault="00DE7207" w:rsidP="00DE7207">
      <w:pPr>
        <w:spacing w:after="120" w:line="240" w:lineRule="auto"/>
        <w:jc w:val="both"/>
        <w:rPr>
          <w:noProof/>
        </w:rPr>
      </w:pPr>
      <w:r>
        <w:rPr>
          <w:noProof/>
        </w:rPr>
        <w:t>July 09</w:t>
      </w:r>
      <w:r>
        <w:rPr>
          <w:noProof/>
        </w:rPr>
        <w:t>, 2023</w:t>
      </w:r>
      <w:r w:rsidRPr="00215FFB">
        <w:rPr>
          <w:noProof/>
        </w:rPr>
        <w:t xml:space="preserve"> (Reported on </w:t>
      </w:r>
      <w:r>
        <w:rPr>
          <w:noProof/>
        </w:rPr>
        <w:t>July 11</w:t>
      </w:r>
      <w:r w:rsidRPr="00215FFB">
        <w:rPr>
          <w:noProof/>
        </w:rPr>
        <w:t xml:space="preserve"> by local media)</w:t>
      </w:r>
    </w:p>
    <w:p w14:paraId="42B64170" w14:textId="77777777" w:rsidR="00DE7207" w:rsidRDefault="00DE7207" w:rsidP="00DE7207">
      <w:pPr>
        <w:spacing w:after="120" w:line="240" w:lineRule="auto"/>
        <w:jc w:val="both"/>
        <w:rPr>
          <w:noProof/>
        </w:rPr>
      </w:pPr>
      <w:r>
        <w:rPr>
          <w:noProof/>
        </w:rPr>
        <w:t>Seven people died and more than 10 were injured this weekend in Guinea-Bissau.</w:t>
      </w:r>
    </w:p>
    <w:p w14:paraId="64F94AEA" w14:textId="77777777" w:rsidR="00DE7207" w:rsidRDefault="00DE7207" w:rsidP="00DE7207">
      <w:pPr>
        <w:spacing w:after="120" w:line="240" w:lineRule="auto"/>
        <w:jc w:val="both"/>
        <w:rPr>
          <w:noProof/>
        </w:rPr>
      </w:pPr>
      <w:r>
        <w:rPr>
          <w:noProof/>
        </w:rPr>
        <w:t>According to the Ministry of Territorial Administration and Local Government, quoted by Notícias ao Minuto, the lightning struck the village of Poro, in the Gabu region, in the Boé sector, located a few kilometers from the border with Guinea-Conakry.</w:t>
      </w:r>
    </w:p>
    <w:p w14:paraId="4ABBDC0F" w14:textId="77777777" w:rsidR="00DE7207" w:rsidRDefault="00DE7207" w:rsidP="00DE7207">
      <w:pPr>
        <w:spacing w:after="120" w:line="240" w:lineRule="auto"/>
        <w:jc w:val="both"/>
        <w:rPr>
          <w:noProof/>
        </w:rPr>
      </w:pPr>
      <w:r>
        <w:rPr>
          <w:noProof/>
        </w:rPr>
        <w:t>"The tragic event was caused by the strong electrical discharge," said the Ministry of Territorial Administration and Local Government in a statement published on Tuesday.</w:t>
      </w:r>
    </w:p>
    <w:p w14:paraId="23F5F841" w14:textId="77777777" w:rsidR="00DE7207" w:rsidRDefault="00DE7207" w:rsidP="00DE7207">
      <w:pPr>
        <w:spacing w:after="120" w:line="240" w:lineRule="auto"/>
        <w:jc w:val="both"/>
        <w:rPr>
          <w:noProof/>
        </w:rPr>
      </w:pPr>
      <w:r>
        <w:rPr>
          <w:noProof/>
        </w:rPr>
        <w:t>The agency regrets the incident and offers condolences to the families of the victims.</w:t>
      </w:r>
    </w:p>
    <w:p w14:paraId="2E41900F" w14:textId="77777777" w:rsidR="00DE7207" w:rsidRDefault="00DE7207" w:rsidP="00DE7207">
      <w:pPr>
        <w:spacing w:after="120" w:line="240" w:lineRule="auto"/>
        <w:jc w:val="both"/>
        <w:rPr>
          <w:noProof/>
        </w:rPr>
      </w:pPr>
      <w:r>
        <w:rPr>
          <w:noProof/>
        </w:rPr>
        <w:t>The rainy season in Guinea-Bissau began in May and will last until November.</w:t>
      </w:r>
    </w:p>
    <w:p w14:paraId="543CA2C3" w14:textId="77777777" w:rsidR="00DE7207" w:rsidRDefault="00DE7207" w:rsidP="00DE7207">
      <w:pPr>
        <w:spacing w:after="120" w:line="240" w:lineRule="auto"/>
        <w:rPr>
          <w:b/>
          <w:noProof/>
          <w:lang w:val="pt-BR"/>
        </w:rPr>
      </w:pPr>
    </w:p>
    <w:p w14:paraId="3318E9DC" w14:textId="32681C35" w:rsidR="00DE7207" w:rsidRDefault="00DE7207" w:rsidP="00DE7207">
      <w:pPr>
        <w:spacing w:after="120" w:line="240" w:lineRule="auto"/>
        <w:rPr>
          <w:b/>
          <w:noProof/>
          <w:lang w:val="pt-BR"/>
        </w:rPr>
      </w:pPr>
      <w:r>
        <w:rPr>
          <w:b/>
          <w:noProof/>
          <w:lang w:val="pt-BR"/>
        </w:rPr>
        <w:t>-----</w:t>
      </w:r>
    </w:p>
    <w:p w14:paraId="1E651B3D" w14:textId="77777777" w:rsidR="00DE7207" w:rsidRDefault="00DE7207" w:rsidP="00DE7207">
      <w:pPr>
        <w:spacing w:after="120" w:line="240" w:lineRule="auto"/>
        <w:rPr>
          <w:b/>
          <w:noProof/>
          <w:lang w:val="pt-BR"/>
        </w:rPr>
      </w:pPr>
    </w:p>
    <w:p w14:paraId="5644495E" w14:textId="24405D01" w:rsidR="0089007B" w:rsidRPr="000E0448" w:rsidRDefault="004A36C1" w:rsidP="00DE7207">
      <w:pPr>
        <w:spacing w:after="120" w:line="240" w:lineRule="auto"/>
        <w:rPr>
          <w:b/>
          <w:noProof/>
          <w:lang w:val="pt-BR"/>
        </w:rPr>
      </w:pPr>
      <w:r w:rsidRPr="004A36C1">
        <w:rPr>
          <w:b/>
          <w:noProof/>
          <w:lang w:val="pt-BR"/>
        </w:rPr>
        <w:t xml:space="preserve">Queda de raio na Guiné-Bissau provoca sete mortos e vários feridos </w:t>
      </w:r>
      <w:r w:rsidR="0089007B" w:rsidRPr="000E0448">
        <w:rPr>
          <w:b/>
          <w:noProof/>
          <w:lang w:val="pt-BR"/>
        </w:rPr>
        <w:t>[</w:t>
      </w:r>
      <w:r w:rsidRPr="004A36C1">
        <w:rPr>
          <w:b/>
          <w:noProof/>
          <w:lang w:val="pt-BR"/>
        </w:rPr>
        <w:t>Guiné-Bissau</w:t>
      </w:r>
      <w:r w:rsidR="000E0448" w:rsidRPr="000E0448">
        <w:rPr>
          <w:b/>
          <w:noProof/>
          <w:lang w:val="pt-BR"/>
        </w:rPr>
        <w:t>]</w:t>
      </w:r>
    </w:p>
    <w:p w14:paraId="4A4D7DA2" w14:textId="1BAAEDAB" w:rsidR="00455A7A" w:rsidRDefault="004A36C1" w:rsidP="00DE7207">
      <w:pPr>
        <w:spacing w:after="120" w:line="240" w:lineRule="auto"/>
        <w:jc w:val="both"/>
        <w:rPr>
          <w:noProof/>
          <w:lang w:val="pt-BR"/>
        </w:rPr>
      </w:pPr>
      <w:r>
        <w:rPr>
          <w:noProof/>
          <w:lang w:val="pt-BR"/>
        </w:rPr>
        <w:t>09</w:t>
      </w:r>
      <w:r w:rsidR="00455A7A" w:rsidRPr="00455A7A">
        <w:rPr>
          <w:noProof/>
          <w:lang w:val="pt-BR"/>
        </w:rPr>
        <w:t xml:space="preserve"> de </w:t>
      </w:r>
      <w:r w:rsidR="00455A7A">
        <w:rPr>
          <w:noProof/>
          <w:lang w:val="pt-BR"/>
        </w:rPr>
        <w:t>J</w:t>
      </w:r>
      <w:r>
        <w:rPr>
          <w:noProof/>
          <w:lang w:val="pt-BR"/>
        </w:rPr>
        <w:t>ulho</w:t>
      </w:r>
      <w:r w:rsidR="00455A7A" w:rsidRPr="00455A7A">
        <w:rPr>
          <w:noProof/>
          <w:lang w:val="pt-BR"/>
        </w:rPr>
        <w:t xml:space="preserve"> (relatado em </w:t>
      </w:r>
      <w:r w:rsidR="00455A7A">
        <w:rPr>
          <w:noProof/>
          <w:lang w:val="pt-BR"/>
        </w:rPr>
        <w:t>J</w:t>
      </w:r>
      <w:r>
        <w:rPr>
          <w:noProof/>
          <w:lang w:val="pt-BR"/>
        </w:rPr>
        <w:t>ulho</w:t>
      </w:r>
      <w:r w:rsidR="00455A7A" w:rsidRPr="00455A7A">
        <w:rPr>
          <w:noProof/>
          <w:lang w:val="pt-BR"/>
        </w:rPr>
        <w:t xml:space="preserve"> </w:t>
      </w:r>
      <w:r w:rsidR="00F46957">
        <w:rPr>
          <w:noProof/>
          <w:lang w:val="pt-BR"/>
        </w:rPr>
        <w:t>1</w:t>
      </w:r>
      <w:r>
        <w:rPr>
          <w:noProof/>
          <w:lang w:val="pt-BR"/>
        </w:rPr>
        <w:t>1</w:t>
      </w:r>
      <w:r w:rsidR="00455A7A" w:rsidRPr="00455A7A">
        <w:rPr>
          <w:noProof/>
          <w:lang w:val="pt-BR"/>
        </w:rPr>
        <w:t>)</w:t>
      </w:r>
      <w:r w:rsidR="00DE7207">
        <w:rPr>
          <w:noProof/>
          <w:lang w:val="pt-BR"/>
        </w:rPr>
        <w:t>, 2023</w:t>
      </w:r>
    </w:p>
    <w:p w14:paraId="2D849404" w14:textId="60A95A02" w:rsidR="00F46957" w:rsidRDefault="00DE7207" w:rsidP="00DE7207">
      <w:pPr>
        <w:spacing w:after="120" w:line="240" w:lineRule="auto"/>
        <w:jc w:val="both"/>
        <w:rPr>
          <w:lang w:val="pt-BR"/>
        </w:rPr>
      </w:pPr>
      <w:hyperlink r:id="rId5" w:history="1">
        <w:r w:rsidR="004A36C1" w:rsidRPr="00D07834">
          <w:rPr>
            <w:rStyle w:val="Hyperlink"/>
            <w:lang w:val="pt-BR"/>
          </w:rPr>
          <w:t>https://opais.co.mz/queda-de-raio-provoca-sete-mortos-e-mais-de-10-feridos-na-guine-bissau/</w:t>
        </w:r>
      </w:hyperlink>
      <w:r w:rsidR="004A36C1">
        <w:rPr>
          <w:lang w:val="pt-BR"/>
        </w:rPr>
        <w:t xml:space="preserve"> </w:t>
      </w:r>
    </w:p>
    <w:p w14:paraId="7FB266E6" w14:textId="77777777" w:rsidR="004A36C1" w:rsidRPr="004A36C1" w:rsidRDefault="004A36C1" w:rsidP="00DE7207">
      <w:pPr>
        <w:spacing w:after="120" w:line="240" w:lineRule="auto"/>
        <w:jc w:val="both"/>
        <w:rPr>
          <w:noProof/>
          <w:lang w:val="pt-BR"/>
        </w:rPr>
      </w:pPr>
      <w:r w:rsidRPr="004A36C1">
        <w:rPr>
          <w:noProof/>
          <w:lang w:val="pt-BR"/>
        </w:rPr>
        <w:t>Sete pessoas morreram e mais de 10 ficaram feridas, este fim-de-semana, na Guiné-Bissau.</w:t>
      </w:r>
    </w:p>
    <w:p w14:paraId="19D3F0D4" w14:textId="77777777" w:rsidR="004A36C1" w:rsidRPr="004A36C1" w:rsidRDefault="004A36C1" w:rsidP="00DE7207">
      <w:pPr>
        <w:spacing w:after="120" w:line="240" w:lineRule="auto"/>
        <w:jc w:val="both"/>
        <w:rPr>
          <w:noProof/>
          <w:lang w:val="pt-BR"/>
        </w:rPr>
      </w:pPr>
      <w:r w:rsidRPr="004A36C1">
        <w:rPr>
          <w:noProof/>
          <w:lang w:val="pt-BR"/>
        </w:rPr>
        <w:t>Segundo o Ministério da Administração Territorial e Poder Local, citado pelo Notícias ao Minuto, o raio atingiu a tabanca de Poro, na região de Gabu, no sector de Boé, situada a alguns quilómetros da fronteira com a Guiné-Conacri.</w:t>
      </w:r>
    </w:p>
    <w:p w14:paraId="66AB590B" w14:textId="77777777" w:rsidR="004A36C1" w:rsidRPr="004A36C1" w:rsidRDefault="004A36C1" w:rsidP="00DE7207">
      <w:pPr>
        <w:spacing w:after="120" w:line="240" w:lineRule="auto"/>
        <w:jc w:val="both"/>
        <w:rPr>
          <w:noProof/>
          <w:lang w:val="pt-BR"/>
        </w:rPr>
      </w:pPr>
      <w:r w:rsidRPr="004A36C1">
        <w:rPr>
          <w:noProof/>
          <w:lang w:val="pt-BR"/>
        </w:rPr>
        <w:t>“O trágico acontecimento foi provocado pela forte descarga eléctrica”, refere o Ministério da Administração Territorial e Poder Local, em comunicado publicado esta terça-feira.</w:t>
      </w:r>
    </w:p>
    <w:p w14:paraId="1CEA4C00" w14:textId="77777777" w:rsidR="004A36C1" w:rsidRPr="004A36C1" w:rsidRDefault="004A36C1" w:rsidP="00DE7207">
      <w:pPr>
        <w:spacing w:after="120" w:line="240" w:lineRule="auto"/>
        <w:jc w:val="both"/>
        <w:rPr>
          <w:noProof/>
          <w:lang w:val="pt-BR"/>
        </w:rPr>
      </w:pPr>
      <w:r w:rsidRPr="004A36C1">
        <w:rPr>
          <w:noProof/>
          <w:lang w:val="pt-BR"/>
        </w:rPr>
        <w:t>O organismo lamenta o incidente e apresenta condolências aos familiares das vítimas.</w:t>
      </w:r>
    </w:p>
    <w:p w14:paraId="430A35CB" w14:textId="349BFEC4" w:rsidR="00F71865" w:rsidRPr="00F71865" w:rsidRDefault="004A36C1" w:rsidP="00DE7207">
      <w:pPr>
        <w:spacing w:after="120" w:line="240" w:lineRule="auto"/>
        <w:jc w:val="both"/>
        <w:rPr>
          <w:noProof/>
          <w:lang w:val="pt-BR"/>
        </w:rPr>
      </w:pPr>
      <w:r w:rsidRPr="004A36C1">
        <w:rPr>
          <w:noProof/>
          <w:lang w:val="pt-BR"/>
        </w:rPr>
        <w:t>A época das chuvas na Guiné-Bissau começou em maio e vai prolongar-se até Novembro.</w:t>
      </w:r>
      <w:r w:rsidR="00F46957" w:rsidRPr="00F46957">
        <w:rPr>
          <w:noProof/>
          <w:lang w:val="pt-BR"/>
        </w:rPr>
        <w:t>.</w:t>
      </w:r>
    </w:p>
    <w:p w14:paraId="63847079" w14:textId="77777777" w:rsidR="00F71865" w:rsidRPr="00F46957" w:rsidRDefault="00F71865" w:rsidP="00DE7207">
      <w:pPr>
        <w:spacing w:after="120" w:line="240" w:lineRule="auto"/>
        <w:jc w:val="both"/>
        <w:rPr>
          <w:b/>
          <w:noProof/>
          <w:lang w:val="pt-BR"/>
        </w:rPr>
      </w:pPr>
    </w:p>
    <w:p w14:paraId="26F4373F" w14:textId="4E70E4AF" w:rsidR="00FC7767" w:rsidRPr="004F096A" w:rsidRDefault="00FC7767" w:rsidP="00DE7207">
      <w:pPr>
        <w:spacing w:after="120" w:line="240" w:lineRule="auto"/>
        <w:jc w:val="both"/>
        <w:rPr>
          <w:b/>
        </w:rPr>
      </w:pPr>
      <w:r w:rsidRPr="004F096A">
        <w:rPr>
          <w:b/>
        </w:rPr>
        <w:t>Information by items</w:t>
      </w:r>
    </w:p>
    <w:tbl>
      <w:tblPr>
        <w:tblStyle w:val="TableGrid"/>
        <w:tblW w:w="0" w:type="auto"/>
        <w:tblLook w:val="04A0" w:firstRow="1" w:lastRow="0" w:firstColumn="1" w:lastColumn="0" w:noHBand="0" w:noVBand="1"/>
      </w:tblPr>
      <w:tblGrid>
        <w:gridCol w:w="3823"/>
        <w:gridCol w:w="5005"/>
      </w:tblGrid>
      <w:tr w:rsidR="00FC7767" w:rsidRPr="004F096A" w14:paraId="4F6E0ED4" w14:textId="77777777" w:rsidTr="00007322">
        <w:tc>
          <w:tcPr>
            <w:tcW w:w="3823" w:type="dxa"/>
            <w:vAlign w:val="center"/>
          </w:tcPr>
          <w:p w14:paraId="01F838C4" w14:textId="77777777" w:rsidR="00FC7767" w:rsidRPr="004F096A" w:rsidRDefault="00FC7767" w:rsidP="00DE7207">
            <w:pPr>
              <w:spacing w:after="120"/>
              <w:rPr>
                <w:i/>
                <w:sz w:val="20"/>
              </w:rPr>
            </w:pPr>
            <w:r w:rsidRPr="004F096A">
              <w:rPr>
                <w:i/>
                <w:sz w:val="20"/>
              </w:rPr>
              <w:t>Year and month</w:t>
            </w:r>
          </w:p>
        </w:tc>
        <w:tc>
          <w:tcPr>
            <w:tcW w:w="5005" w:type="dxa"/>
            <w:vAlign w:val="center"/>
          </w:tcPr>
          <w:p w14:paraId="2AA6789E" w14:textId="0A5F3758" w:rsidR="00FC7767" w:rsidRPr="004F096A" w:rsidRDefault="00FC7767" w:rsidP="00DE7207">
            <w:pPr>
              <w:spacing w:after="120"/>
              <w:jc w:val="center"/>
              <w:rPr>
                <w:sz w:val="20"/>
              </w:rPr>
            </w:pPr>
            <w:r w:rsidRPr="004F096A">
              <w:rPr>
                <w:sz w:val="20"/>
              </w:rPr>
              <w:t>20</w:t>
            </w:r>
            <w:r w:rsidR="0023770C" w:rsidRPr="004F096A">
              <w:rPr>
                <w:sz w:val="20"/>
              </w:rPr>
              <w:t>2</w:t>
            </w:r>
            <w:r w:rsidR="00215FFB">
              <w:rPr>
                <w:sz w:val="20"/>
              </w:rPr>
              <w:t>3</w:t>
            </w:r>
            <w:r w:rsidRPr="004F096A">
              <w:rPr>
                <w:sz w:val="20"/>
              </w:rPr>
              <w:t xml:space="preserve"> / </w:t>
            </w:r>
            <w:r w:rsidR="00215FFB">
              <w:rPr>
                <w:sz w:val="20"/>
              </w:rPr>
              <w:t>J</w:t>
            </w:r>
            <w:r w:rsidR="00B028CA">
              <w:rPr>
                <w:sz w:val="20"/>
              </w:rPr>
              <w:t>uly</w:t>
            </w:r>
          </w:p>
        </w:tc>
      </w:tr>
      <w:tr w:rsidR="00FC7767" w:rsidRPr="004F096A" w14:paraId="732ADFD1" w14:textId="77777777" w:rsidTr="00007322">
        <w:tc>
          <w:tcPr>
            <w:tcW w:w="3823" w:type="dxa"/>
            <w:vAlign w:val="center"/>
          </w:tcPr>
          <w:p w14:paraId="4C3BCC28" w14:textId="77777777" w:rsidR="00FC7767" w:rsidRPr="004F096A" w:rsidRDefault="00FC7767" w:rsidP="00DE7207">
            <w:pPr>
              <w:spacing w:after="120"/>
              <w:rPr>
                <w:i/>
                <w:sz w:val="20"/>
              </w:rPr>
            </w:pPr>
            <w:r w:rsidRPr="004F096A">
              <w:rPr>
                <w:i/>
                <w:sz w:val="20"/>
              </w:rPr>
              <w:t>Day of the month or week</w:t>
            </w:r>
          </w:p>
        </w:tc>
        <w:tc>
          <w:tcPr>
            <w:tcW w:w="5005" w:type="dxa"/>
            <w:vAlign w:val="center"/>
          </w:tcPr>
          <w:p w14:paraId="2D13FF03" w14:textId="6B3AE1B5" w:rsidR="00FC7767" w:rsidRPr="004F096A" w:rsidRDefault="00B028CA" w:rsidP="00DE7207">
            <w:pPr>
              <w:spacing w:after="120"/>
              <w:jc w:val="center"/>
              <w:rPr>
                <w:sz w:val="20"/>
              </w:rPr>
            </w:pPr>
            <w:r>
              <w:rPr>
                <w:sz w:val="20"/>
              </w:rPr>
              <w:t>Sunday</w:t>
            </w:r>
            <w:r w:rsidR="00215FFB" w:rsidRPr="00215FFB">
              <w:rPr>
                <w:sz w:val="20"/>
              </w:rPr>
              <w:t xml:space="preserve"> </w:t>
            </w:r>
            <w:r>
              <w:rPr>
                <w:sz w:val="20"/>
              </w:rPr>
              <w:t>09</w:t>
            </w:r>
            <w:r w:rsidR="00F71865">
              <w:rPr>
                <w:sz w:val="20"/>
              </w:rPr>
              <w:t>th</w:t>
            </w:r>
          </w:p>
        </w:tc>
      </w:tr>
      <w:tr w:rsidR="00FC7767" w:rsidRPr="004F096A" w14:paraId="458B5F86" w14:textId="77777777" w:rsidTr="00007322">
        <w:tc>
          <w:tcPr>
            <w:tcW w:w="3823" w:type="dxa"/>
            <w:vAlign w:val="center"/>
          </w:tcPr>
          <w:p w14:paraId="4ED94AF0" w14:textId="77777777" w:rsidR="00FC7767" w:rsidRPr="004F096A" w:rsidRDefault="00FC7767" w:rsidP="00DE7207">
            <w:pPr>
              <w:spacing w:after="120"/>
              <w:rPr>
                <w:i/>
                <w:sz w:val="20"/>
              </w:rPr>
            </w:pPr>
            <w:r w:rsidRPr="004F096A">
              <w:rPr>
                <w:i/>
                <w:sz w:val="20"/>
              </w:rPr>
              <w:t>Numbers killed or injured</w:t>
            </w:r>
          </w:p>
        </w:tc>
        <w:tc>
          <w:tcPr>
            <w:tcW w:w="5005" w:type="dxa"/>
            <w:vAlign w:val="center"/>
          </w:tcPr>
          <w:p w14:paraId="011CB654" w14:textId="1FB32284" w:rsidR="00FC7767" w:rsidRPr="004F096A" w:rsidRDefault="00B028CA" w:rsidP="00DE7207">
            <w:pPr>
              <w:spacing w:after="120"/>
              <w:jc w:val="center"/>
              <w:rPr>
                <w:sz w:val="20"/>
              </w:rPr>
            </w:pPr>
            <w:r>
              <w:rPr>
                <w:sz w:val="20"/>
              </w:rPr>
              <w:t>7</w:t>
            </w:r>
            <w:r w:rsidR="00357F5E">
              <w:rPr>
                <w:sz w:val="20"/>
              </w:rPr>
              <w:t xml:space="preserve"> killed</w:t>
            </w:r>
            <w:r w:rsidR="00215FFB">
              <w:rPr>
                <w:sz w:val="20"/>
              </w:rPr>
              <w:t xml:space="preserve">, </w:t>
            </w:r>
            <w:r>
              <w:rPr>
                <w:sz w:val="20"/>
              </w:rPr>
              <w:t>10</w:t>
            </w:r>
            <w:r w:rsidR="00215FFB">
              <w:rPr>
                <w:sz w:val="20"/>
              </w:rPr>
              <w:t xml:space="preserve"> injured</w:t>
            </w:r>
          </w:p>
        </w:tc>
      </w:tr>
      <w:tr w:rsidR="00FC7767" w:rsidRPr="004F096A" w14:paraId="468718DD" w14:textId="77777777" w:rsidTr="00007322">
        <w:tc>
          <w:tcPr>
            <w:tcW w:w="3823" w:type="dxa"/>
            <w:vAlign w:val="center"/>
          </w:tcPr>
          <w:p w14:paraId="0EDC7B90" w14:textId="0FB1BD99" w:rsidR="00FC7767" w:rsidRPr="004F096A" w:rsidRDefault="00FC7767" w:rsidP="00DE7207">
            <w:pPr>
              <w:spacing w:after="120"/>
              <w:rPr>
                <w:i/>
                <w:sz w:val="20"/>
              </w:rPr>
            </w:pPr>
            <w:r w:rsidRPr="004F096A">
              <w:rPr>
                <w:i/>
                <w:sz w:val="20"/>
              </w:rPr>
              <w:t xml:space="preserve">Age and </w:t>
            </w:r>
            <w:r w:rsidR="005C2E95" w:rsidRPr="004F096A">
              <w:rPr>
                <w:i/>
                <w:sz w:val="20"/>
              </w:rPr>
              <w:t>gender</w:t>
            </w:r>
          </w:p>
        </w:tc>
        <w:tc>
          <w:tcPr>
            <w:tcW w:w="5005" w:type="dxa"/>
            <w:vAlign w:val="center"/>
          </w:tcPr>
          <w:p w14:paraId="3B7D0720" w14:textId="1FD548FF" w:rsidR="00FC7767" w:rsidRPr="004F096A" w:rsidRDefault="00B028CA" w:rsidP="00DE7207">
            <w:pPr>
              <w:spacing w:after="120"/>
              <w:jc w:val="center"/>
              <w:rPr>
                <w:sz w:val="20"/>
              </w:rPr>
            </w:pPr>
            <w:r>
              <w:rPr>
                <w:sz w:val="20"/>
              </w:rPr>
              <w:t>Not specified</w:t>
            </w:r>
            <w:r w:rsidR="00F71865">
              <w:rPr>
                <w:sz w:val="20"/>
              </w:rPr>
              <w:t xml:space="preserve"> </w:t>
            </w:r>
            <w:r w:rsidR="003D79DC" w:rsidRPr="004F096A">
              <w:rPr>
                <w:sz w:val="20"/>
              </w:rPr>
              <w:t xml:space="preserve"> </w:t>
            </w:r>
          </w:p>
        </w:tc>
      </w:tr>
      <w:tr w:rsidR="00FC7767" w:rsidRPr="00F46957" w14:paraId="4BDC760D" w14:textId="77777777" w:rsidTr="00007322">
        <w:tc>
          <w:tcPr>
            <w:tcW w:w="3823" w:type="dxa"/>
            <w:vAlign w:val="center"/>
          </w:tcPr>
          <w:p w14:paraId="47D19FA4" w14:textId="77777777" w:rsidR="00FC7767" w:rsidRPr="004F096A" w:rsidRDefault="00FC7767" w:rsidP="00DE7207">
            <w:pPr>
              <w:spacing w:after="120"/>
              <w:rPr>
                <w:i/>
                <w:sz w:val="20"/>
              </w:rPr>
            </w:pPr>
            <w:r w:rsidRPr="004F096A">
              <w:rPr>
                <w:i/>
                <w:sz w:val="20"/>
              </w:rPr>
              <w:t>Geographic Location</w:t>
            </w:r>
          </w:p>
        </w:tc>
        <w:tc>
          <w:tcPr>
            <w:tcW w:w="5005" w:type="dxa"/>
            <w:vAlign w:val="center"/>
          </w:tcPr>
          <w:p w14:paraId="4FE629BF" w14:textId="300A3859" w:rsidR="00FC7767" w:rsidRPr="00F46957" w:rsidRDefault="004A36C1" w:rsidP="00DE7207">
            <w:pPr>
              <w:spacing w:after="120"/>
              <w:jc w:val="center"/>
              <w:rPr>
                <w:sz w:val="20"/>
                <w:lang w:val="pt-BR"/>
              </w:rPr>
            </w:pPr>
            <w:r>
              <w:rPr>
                <w:noProof/>
                <w:sz w:val="20"/>
                <w:lang w:val="pt-BR"/>
              </w:rPr>
              <w:t xml:space="preserve">Village </w:t>
            </w:r>
            <w:r w:rsidRPr="004A36C1">
              <w:rPr>
                <w:noProof/>
                <w:sz w:val="20"/>
                <w:lang w:val="pt-BR"/>
              </w:rPr>
              <w:t>of Poro in the Gabu region of the Boé sector, a few kilometers from the border with Guinea-Conakry</w:t>
            </w:r>
          </w:p>
        </w:tc>
      </w:tr>
      <w:tr w:rsidR="00FC7767" w:rsidRPr="004F096A" w14:paraId="75B20336" w14:textId="77777777" w:rsidTr="00007322">
        <w:tc>
          <w:tcPr>
            <w:tcW w:w="3823" w:type="dxa"/>
            <w:vAlign w:val="center"/>
          </w:tcPr>
          <w:p w14:paraId="63A9BF9D" w14:textId="77777777" w:rsidR="00FC7767" w:rsidRPr="004F096A" w:rsidRDefault="00FC7767" w:rsidP="00DE7207">
            <w:pPr>
              <w:spacing w:after="120"/>
              <w:rPr>
                <w:i/>
                <w:sz w:val="20"/>
              </w:rPr>
            </w:pPr>
            <w:r w:rsidRPr="004F096A">
              <w:rPr>
                <w:i/>
                <w:sz w:val="20"/>
              </w:rPr>
              <w:t>Personal location and activity when injured</w:t>
            </w:r>
          </w:p>
        </w:tc>
        <w:tc>
          <w:tcPr>
            <w:tcW w:w="5005" w:type="dxa"/>
            <w:vAlign w:val="center"/>
          </w:tcPr>
          <w:p w14:paraId="0228E3A6" w14:textId="0178CB09" w:rsidR="00FC7767" w:rsidRPr="004F096A" w:rsidRDefault="00B028CA" w:rsidP="00DE7207">
            <w:pPr>
              <w:spacing w:after="120"/>
              <w:jc w:val="center"/>
              <w:rPr>
                <w:sz w:val="20"/>
              </w:rPr>
            </w:pPr>
            <w:r>
              <w:rPr>
                <w:sz w:val="20"/>
              </w:rPr>
              <w:t>Not specified</w:t>
            </w:r>
          </w:p>
        </w:tc>
      </w:tr>
    </w:tbl>
    <w:p w14:paraId="49321964" w14:textId="77777777" w:rsidR="00B758FD" w:rsidRPr="004F096A" w:rsidRDefault="00B758FD" w:rsidP="00DE7207">
      <w:pPr>
        <w:spacing w:after="120" w:line="240" w:lineRule="auto"/>
        <w:jc w:val="both"/>
      </w:pPr>
    </w:p>
    <w:sectPr w:rsidR="00B758FD" w:rsidRPr="004F09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416E2"/>
    <w:rsid w:val="000734EE"/>
    <w:rsid w:val="0007692D"/>
    <w:rsid w:val="000E0448"/>
    <w:rsid w:val="001308EE"/>
    <w:rsid w:val="00150552"/>
    <w:rsid w:val="00170639"/>
    <w:rsid w:val="0019530E"/>
    <w:rsid w:val="001A6A43"/>
    <w:rsid w:val="001B0A4C"/>
    <w:rsid w:val="001B4F36"/>
    <w:rsid w:val="001B6157"/>
    <w:rsid w:val="00215FFB"/>
    <w:rsid w:val="0023770C"/>
    <w:rsid w:val="00256B49"/>
    <w:rsid w:val="002709B3"/>
    <w:rsid w:val="00293577"/>
    <w:rsid w:val="002A4388"/>
    <w:rsid w:val="00322B0A"/>
    <w:rsid w:val="00324471"/>
    <w:rsid w:val="00357F5E"/>
    <w:rsid w:val="003C7277"/>
    <w:rsid w:val="003D79DC"/>
    <w:rsid w:val="004444C8"/>
    <w:rsid w:val="00455A7A"/>
    <w:rsid w:val="00486504"/>
    <w:rsid w:val="004A36C1"/>
    <w:rsid w:val="004A70E5"/>
    <w:rsid w:val="004C35DF"/>
    <w:rsid w:val="004F096A"/>
    <w:rsid w:val="00541C37"/>
    <w:rsid w:val="00574965"/>
    <w:rsid w:val="00583972"/>
    <w:rsid w:val="00591688"/>
    <w:rsid w:val="005B6F87"/>
    <w:rsid w:val="005C2E95"/>
    <w:rsid w:val="005F11BD"/>
    <w:rsid w:val="006D485E"/>
    <w:rsid w:val="00723F94"/>
    <w:rsid w:val="007D6E63"/>
    <w:rsid w:val="0081164E"/>
    <w:rsid w:val="00837154"/>
    <w:rsid w:val="0089007B"/>
    <w:rsid w:val="008D758C"/>
    <w:rsid w:val="008E1172"/>
    <w:rsid w:val="00914C82"/>
    <w:rsid w:val="00921A67"/>
    <w:rsid w:val="009330FC"/>
    <w:rsid w:val="00947CD9"/>
    <w:rsid w:val="00962FF0"/>
    <w:rsid w:val="0097603B"/>
    <w:rsid w:val="00977732"/>
    <w:rsid w:val="009D3699"/>
    <w:rsid w:val="009F2BE1"/>
    <w:rsid w:val="009F5F9C"/>
    <w:rsid w:val="00A113D2"/>
    <w:rsid w:val="00A83B90"/>
    <w:rsid w:val="00AC721B"/>
    <w:rsid w:val="00B028CA"/>
    <w:rsid w:val="00B06C51"/>
    <w:rsid w:val="00B55D84"/>
    <w:rsid w:val="00B758FD"/>
    <w:rsid w:val="00BE630C"/>
    <w:rsid w:val="00BF7DED"/>
    <w:rsid w:val="00C777ED"/>
    <w:rsid w:val="00C939D7"/>
    <w:rsid w:val="00D00BB8"/>
    <w:rsid w:val="00D01A7B"/>
    <w:rsid w:val="00D15C88"/>
    <w:rsid w:val="00D164FC"/>
    <w:rsid w:val="00D8518F"/>
    <w:rsid w:val="00D86077"/>
    <w:rsid w:val="00DD3892"/>
    <w:rsid w:val="00DE7207"/>
    <w:rsid w:val="00E03423"/>
    <w:rsid w:val="00E3265C"/>
    <w:rsid w:val="00E823D4"/>
    <w:rsid w:val="00F14F74"/>
    <w:rsid w:val="00F46957"/>
    <w:rsid w:val="00F71865"/>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6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pais.co.mz/queda-de-raio-provoca-sete-mortos-e-mais-de-10-feridos-na-guine-bissa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41055-1AE5-4A79-BDA1-A1A1921A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322</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Ronald Holle</cp:lastModifiedBy>
  <cp:revision>54</cp:revision>
  <cp:lastPrinted>2023-07-31T23:07:00Z</cp:lastPrinted>
  <dcterms:created xsi:type="dcterms:W3CDTF">2018-11-25T04:06:00Z</dcterms:created>
  <dcterms:modified xsi:type="dcterms:W3CDTF">2023-07-31T23:07:00Z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2022-11-21T01:20:50Z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7f2d7ebb-69d1-4d50-9468-dc16cb69854b</vt:lpwstr>
  </property>
  <property fmtid="{D5CDD505-2E9C-101B-9397-08002B2CF9AE}" pid="8" name="MSIP_Label_1299739c-ad3d-4908-806e-4d91151a6e13_ContentBits">
    <vt:lpwstr>0</vt:lpwstr>
  </property>
</Properties>
</file>